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CC28" w14:textId="77777777" w:rsidR="00480051" w:rsidRDefault="00480051" w:rsidP="00480051">
      <w:pPr>
        <w:jc w:val="both"/>
      </w:pPr>
      <w:r>
        <w:t xml:space="preserve">                 </w:t>
      </w:r>
      <w:r>
        <w:object w:dxaOrig="737" w:dyaOrig="737" w14:anchorId="7954D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6" o:title=""/>
          </v:shape>
          <o:OLEObject Type="Embed" ProgID="Word.Picture.8" ShapeID="_x0000_i1025" DrawAspect="Content" ObjectID="_1833423088" r:id="rId7"/>
        </w:object>
      </w:r>
    </w:p>
    <w:p w14:paraId="7900DAAB" w14:textId="77777777" w:rsidR="00480051" w:rsidRPr="00F07962" w:rsidRDefault="00480051" w:rsidP="00480051">
      <w:pPr>
        <w:jc w:val="both"/>
      </w:pPr>
      <w:r w:rsidRPr="00F07962">
        <w:t xml:space="preserve">REPUBLIKA HRVATSKA                                                                                    </w:t>
      </w:r>
    </w:p>
    <w:p w14:paraId="30D1BE8B" w14:textId="33B6C78A" w:rsidR="00480051" w:rsidRDefault="00325711" w:rsidP="00480051">
      <w:pPr>
        <w:jc w:val="both"/>
      </w:pPr>
      <w:r>
        <w:t>ZAGREBAČKA ŽUPANIJA</w:t>
      </w:r>
    </w:p>
    <w:p w14:paraId="652CA3C7" w14:textId="765D1F84" w:rsidR="00B80E31" w:rsidRPr="00F07962" w:rsidRDefault="00325711" w:rsidP="00B80E31">
      <w:pPr>
        <w:jc w:val="both"/>
      </w:pPr>
      <w:r>
        <w:t>OSNOVNA ŠKOLA LUKA</w:t>
      </w:r>
    </w:p>
    <w:p w14:paraId="67334BD8" w14:textId="0933AE41" w:rsidR="00230DEC" w:rsidRPr="004362AC" w:rsidRDefault="00325711" w:rsidP="00230DEC">
      <w:pPr>
        <w:jc w:val="both"/>
      </w:pPr>
      <w:r>
        <w:t xml:space="preserve">Luka </w:t>
      </w:r>
      <w:r w:rsidR="00230DEC" w:rsidRPr="004362AC">
        <w:t>,</w:t>
      </w:r>
      <w:r w:rsidR="004362AC" w:rsidRPr="004362AC">
        <w:t xml:space="preserve"> </w:t>
      </w:r>
      <w:r>
        <w:t>30.01.2026</w:t>
      </w:r>
      <w:r w:rsidR="00230DEC" w:rsidRPr="004362AC">
        <w:t>.</w:t>
      </w:r>
    </w:p>
    <w:p w14:paraId="35F17CA1" w14:textId="77777777" w:rsidR="00480051" w:rsidRDefault="00480051" w:rsidP="00480051">
      <w:pPr>
        <w:jc w:val="both"/>
      </w:pPr>
    </w:p>
    <w:p w14:paraId="0C46FA31" w14:textId="02D19697" w:rsidR="00774E35" w:rsidRPr="00594BAF" w:rsidRDefault="00934152" w:rsidP="00774E35">
      <w:pPr>
        <w:ind w:firstLine="708"/>
        <w:jc w:val="both"/>
        <w:rPr>
          <w:color w:val="FF0000"/>
        </w:rPr>
      </w:pPr>
      <w:r>
        <w:t xml:space="preserve">Temeljem </w:t>
      </w:r>
      <w:r w:rsidR="00774E35">
        <w:t>članka 82</w:t>
      </w:r>
      <w:r>
        <w:t xml:space="preserve">. st. 2. </w:t>
      </w:r>
      <w:r w:rsidR="00774E35">
        <w:t xml:space="preserve">Pravilnika o proračunskom računovodstvu i računskom planu („Narodne novine“ br. </w:t>
      </w:r>
      <w:r w:rsidRPr="00934152">
        <w:t>124/14, 115/15, 87/16, 3/18, 126/19 i</w:t>
      </w:r>
      <w:r>
        <w:rPr>
          <w:bCs/>
        </w:rPr>
        <w:t xml:space="preserve"> </w:t>
      </w:r>
      <w:r w:rsidR="00774E35">
        <w:rPr>
          <w:bCs/>
        </w:rPr>
        <w:t>108/20</w:t>
      </w:r>
      <w:r w:rsidR="007B466B">
        <w:rPr>
          <w:bCs/>
        </w:rPr>
        <w:t>, 158/23</w:t>
      </w:r>
      <w:r w:rsidR="00774E35" w:rsidRPr="00711ED7">
        <w:t>)</w:t>
      </w:r>
      <w:r w:rsidR="00783B12">
        <w:t xml:space="preserve">, </w:t>
      </w:r>
      <w:r w:rsidR="009A7992">
        <w:t>članka 29.</w:t>
      </w:r>
      <w:r w:rsidR="007B466B">
        <w:t xml:space="preserve"> Statuta OŠ Luke</w:t>
      </w:r>
      <w:r w:rsidR="009971C6" w:rsidRPr="004362AC">
        <w:t>,</w:t>
      </w:r>
      <w:r w:rsidR="00774E35" w:rsidRPr="004362AC">
        <w:t xml:space="preserve"> Školski odbor</w:t>
      </w:r>
      <w:r w:rsidR="004362AC" w:rsidRPr="004362AC">
        <w:t xml:space="preserve"> na sjednici održanoj </w:t>
      </w:r>
      <w:r w:rsidR="007B466B">
        <w:t>30.01</w:t>
      </w:r>
      <w:r w:rsidR="004362AC" w:rsidRPr="004362AC">
        <w:t>.2025</w:t>
      </w:r>
      <w:r w:rsidRPr="004362AC">
        <w:t>.</w:t>
      </w:r>
      <w:r w:rsidR="00774E35" w:rsidRPr="004362AC">
        <w:t>, donosi</w:t>
      </w:r>
      <w:r w:rsidR="005160CD" w:rsidRPr="004362AC">
        <w:t>:</w:t>
      </w:r>
    </w:p>
    <w:p w14:paraId="19F8EB24" w14:textId="77777777" w:rsidR="00480051" w:rsidRPr="00594BAF" w:rsidRDefault="00480051" w:rsidP="00480051">
      <w:pPr>
        <w:jc w:val="center"/>
        <w:rPr>
          <w:color w:val="FF0000"/>
        </w:rPr>
      </w:pPr>
    </w:p>
    <w:p w14:paraId="7D618689" w14:textId="77777777" w:rsidR="00480051" w:rsidRDefault="00480051" w:rsidP="00480051">
      <w:pPr>
        <w:jc w:val="center"/>
        <w:rPr>
          <w:b/>
        </w:rPr>
      </w:pPr>
      <w:r w:rsidRPr="00380E40">
        <w:rPr>
          <w:b/>
        </w:rPr>
        <w:t>ODLUK</w:t>
      </w:r>
      <w:r>
        <w:rPr>
          <w:b/>
        </w:rPr>
        <w:t>A</w:t>
      </w:r>
    </w:p>
    <w:p w14:paraId="21733A65" w14:textId="5886D186" w:rsidR="00480051" w:rsidRDefault="00480051" w:rsidP="00480051">
      <w:pPr>
        <w:jc w:val="center"/>
        <w:rPr>
          <w:b/>
        </w:rPr>
      </w:pPr>
      <w:r>
        <w:rPr>
          <w:b/>
        </w:rPr>
        <w:t xml:space="preserve">o raspodjeli rezultata </w:t>
      </w:r>
      <w:r w:rsidR="00B80E31" w:rsidRPr="00B80E31">
        <w:rPr>
          <w:b/>
        </w:rPr>
        <w:t xml:space="preserve">OSNOVNE ŠKOLE </w:t>
      </w:r>
      <w:r w:rsidR="00325711">
        <w:rPr>
          <w:b/>
        </w:rPr>
        <w:t>LUKA</w:t>
      </w:r>
    </w:p>
    <w:p w14:paraId="5C93FBA6" w14:textId="77777777" w:rsidR="005A5737" w:rsidRDefault="005A5737" w:rsidP="00480051">
      <w:pPr>
        <w:jc w:val="center"/>
        <w:rPr>
          <w:b/>
        </w:rPr>
      </w:pPr>
    </w:p>
    <w:p w14:paraId="3429E9AB" w14:textId="77777777" w:rsidR="00480051" w:rsidRDefault="00480051" w:rsidP="00480051">
      <w:pPr>
        <w:jc w:val="center"/>
        <w:rPr>
          <w:b/>
        </w:rPr>
      </w:pPr>
      <w:r>
        <w:rPr>
          <w:b/>
        </w:rPr>
        <w:t>Članak 1.</w:t>
      </w:r>
    </w:p>
    <w:p w14:paraId="46F62135" w14:textId="77777777" w:rsidR="00480051" w:rsidRDefault="00480051" w:rsidP="00480051">
      <w:pPr>
        <w:jc w:val="both"/>
        <w:rPr>
          <w:b/>
        </w:rPr>
      </w:pPr>
    </w:p>
    <w:p w14:paraId="6B64D128" w14:textId="69B415D1" w:rsidR="00480051" w:rsidRDefault="00480051" w:rsidP="00480051">
      <w:pPr>
        <w:jc w:val="both"/>
      </w:pPr>
      <w:r w:rsidRPr="00A26808">
        <w:tab/>
      </w:r>
      <w:r w:rsidR="0025487D">
        <w:t>Stanja utvrđena na</w:t>
      </w:r>
      <w:r>
        <w:t xml:space="preserve"> osn</w:t>
      </w:r>
      <w:r w:rsidR="00EC55EB">
        <w:t xml:space="preserve">ovnim računima podskupine 922 </w:t>
      </w:r>
      <w:r w:rsidR="00D16841">
        <w:t xml:space="preserve">i iskazana u </w:t>
      </w:r>
      <w:r>
        <w:t>go</w:t>
      </w:r>
      <w:r w:rsidR="0025487D">
        <w:t>dišnjem</w:t>
      </w:r>
      <w:r w:rsidR="00934152">
        <w:t xml:space="preserve"> Financijskom izvještaju za 202</w:t>
      </w:r>
      <w:r w:rsidR="00325711">
        <w:t>5</w:t>
      </w:r>
      <w:r>
        <w:t xml:space="preserve">. godinu utvrđena su kako slijedi: </w:t>
      </w:r>
    </w:p>
    <w:p w14:paraId="15B8E2BF" w14:textId="77777777" w:rsidR="00250705" w:rsidRDefault="00250705" w:rsidP="00480051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4"/>
        <w:gridCol w:w="4531"/>
        <w:gridCol w:w="2455"/>
      </w:tblGrid>
      <w:tr w:rsidR="00480051" w14:paraId="209282D9" w14:textId="77777777" w:rsidTr="003D46E1">
        <w:trPr>
          <w:trHeight w:val="3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0DF6C8F" w14:textId="77777777" w:rsidR="00480051" w:rsidRPr="004B01FE" w:rsidRDefault="00480051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>Osnovni račun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654AC79" w14:textId="77777777" w:rsidR="00480051" w:rsidRPr="004B01FE" w:rsidRDefault="00480051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>Naziv računa</w:t>
            </w: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6987FB" w14:textId="77777777" w:rsidR="00480051" w:rsidRPr="004B01FE" w:rsidRDefault="00480051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 xml:space="preserve">Iznos </w:t>
            </w:r>
            <w:proofErr w:type="spellStart"/>
            <w:r w:rsidR="00C8590B">
              <w:rPr>
                <w:b/>
              </w:rPr>
              <w:t>eur</w:t>
            </w:r>
            <w:proofErr w:type="spellEnd"/>
          </w:p>
        </w:tc>
      </w:tr>
      <w:tr w:rsidR="00480051" w14:paraId="46EA20BB" w14:textId="77777777" w:rsidTr="003D46E1">
        <w:tc>
          <w:tcPr>
            <w:tcW w:w="2093" w:type="dxa"/>
            <w:tcBorders>
              <w:left w:val="single" w:sz="12" w:space="0" w:color="auto"/>
            </w:tcBorders>
          </w:tcPr>
          <w:p w14:paraId="2FB2906E" w14:textId="77777777" w:rsidR="00480051" w:rsidRDefault="00480051" w:rsidP="00934746">
            <w:pPr>
              <w:jc w:val="center"/>
            </w:pPr>
            <w:r>
              <w:t>92211</w:t>
            </w:r>
          </w:p>
        </w:tc>
        <w:tc>
          <w:tcPr>
            <w:tcW w:w="4678" w:type="dxa"/>
          </w:tcPr>
          <w:p w14:paraId="705B9E61" w14:textId="77777777" w:rsidR="00480051" w:rsidRDefault="00480051" w:rsidP="00480051">
            <w:r>
              <w:t>Višak prihoda poslovanja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05D7E7F4" w14:textId="22C5FD6B" w:rsidR="00480051" w:rsidRDefault="00480051" w:rsidP="00587D7F">
            <w:pPr>
              <w:jc w:val="center"/>
            </w:pPr>
          </w:p>
        </w:tc>
      </w:tr>
      <w:tr w:rsidR="00480051" w14:paraId="08985159" w14:textId="77777777" w:rsidTr="003D46E1">
        <w:tc>
          <w:tcPr>
            <w:tcW w:w="2093" w:type="dxa"/>
            <w:tcBorders>
              <w:left w:val="single" w:sz="12" w:space="0" w:color="auto"/>
            </w:tcBorders>
          </w:tcPr>
          <w:p w14:paraId="1EF67C67" w14:textId="77777777" w:rsidR="00480051" w:rsidRDefault="00480051" w:rsidP="00934746">
            <w:pPr>
              <w:jc w:val="center"/>
            </w:pPr>
            <w:r>
              <w:t>92212</w:t>
            </w:r>
          </w:p>
        </w:tc>
        <w:tc>
          <w:tcPr>
            <w:tcW w:w="4678" w:type="dxa"/>
          </w:tcPr>
          <w:p w14:paraId="710F466B" w14:textId="77777777" w:rsidR="00480051" w:rsidRDefault="00480051" w:rsidP="00480051">
            <w:r>
              <w:t>Višak prihoda od nefinancijske imovine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720D7041" w14:textId="77777777" w:rsidR="00480051" w:rsidRDefault="00480051" w:rsidP="00DD7D03">
            <w:pPr>
              <w:jc w:val="center"/>
            </w:pPr>
          </w:p>
        </w:tc>
      </w:tr>
      <w:tr w:rsidR="00C94816" w14:paraId="6021AD62" w14:textId="77777777" w:rsidTr="003D46E1">
        <w:tc>
          <w:tcPr>
            <w:tcW w:w="2093" w:type="dxa"/>
            <w:tcBorders>
              <w:left w:val="single" w:sz="12" w:space="0" w:color="auto"/>
            </w:tcBorders>
          </w:tcPr>
          <w:p w14:paraId="56756DD1" w14:textId="77777777" w:rsidR="00C94816" w:rsidRDefault="00C94816" w:rsidP="00D57F77">
            <w:pPr>
              <w:jc w:val="center"/>
            </w:pPr>
            <w:r>
              <w:t>92213</w:t>
            </w:r>
          </w:p>
        </w:tc>
        <w:tc>
          <w:tcPr>
            <w:tcW w:w="4678" w:type="dxa"/>
          </w:tcPr>
          <w:p w14:paraId="7202C463" w14:textId="77777777" w:rsidR="00C94816" w:rsidRDefault="00C94816" w:rsidP="00D57F77">
            <w:r>
              <w:t>Višak prihoda od financijske imovine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6F350585" w14:textId="77777777" w:rsidR="00C94816" w:rsidRDefault="00C94816" w:rsidP="00934746">
            <w:pPr>
              <w:jc w:val="both"/>
            </w:pPr>
          </w:p>
        </w:tc>
      </w:tr>
      <w:tr w:rsidR="00C94816" w14:paraId="1A50E643" w14:textId="77777777" w:rsidTr="003D46E1">
        <w:tc>
          <w:tcPr>
            <w:tcW w:w="2093" w:type="dxa"/>
            <w:tcBorders>
              <w:left w:val="single" w:sz="12" w:space="0" w:color="auto"/>
            </w:tcBorders>
          </w:tcPr>
          <w:p w14:paraId="0705825D" w14:textId="77777777" w:rsidR="00C94816" w:rsidRDefault="00C94816" w:rsidP="00934746">
            <w:pPr>
              <w:jc w:val="center"/>
            </w:pPr>
            <w:r>
              <w:t>92221</w:t>
            </w:r>
          </w:p>
        </w:tc>
        <w:tc>
          <w:tcPr>
            <w:tcW w:w="4678" w:type="dxa"/>
          </w:tcPr>
          <w:p w14:paraId="7966E3A0" w14:textId="77777777" w:rsidR="00C94816" w:rsidRDefault="00C94816" w:rsidP="00480051">
            <w:r>
              <w:t>Manjak prihoda poslovanja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7B377A04" w14:textId="3E31D829" w:rsidR="00C94816" w:rsidRDefault="00325711" w:rsidP="00594BAF">
            <w:pPr>
              <w:jc w:val="center"/>
            </w:pPr>
            <w:r>
              <w:t>46.456,45</w:t>
            </w:r>
          </w:p>
        </w:tc>
      </w:tr>
      <w:tr w:rsidR="00C94816" w14:paraId="5A45087D" w14:textId="77777777" w:rsidTr="003D46E1">
        <w:tc>
          <w:tcPr>
            <w:tcW w:w="2093" w:type="dxa"/>
            <w:tcBorders>
              <w:left w:val="single" w:sz="12" w:space="0" w:color="auto"/>
            </w:tcBorders>
          </w:tcPr>
          <w:p w14:paraId="2C9E6717" w14:textId="77777777" w:rsidR="00C94816" w:rsidRDefault="00C94816" w:rsidP="00934746">
            <w:pPr>
              <w:jc w:val="center"/>
            </w:pPr>
            <w:r>
              <w:t>92222</w:t>
            </w:r>
          </w:p>
        </w:tc>
        <w:tc>
          <w:tcPr>
            <w:tcW w:w="4678" w:type="dxa"/>
          </w:tcPr>
          <w:p w14:paraId="53E5B386" w14:textId="77777777" w:rsidR="00C94816" w:rsidRDefault="00C94816" w:rsidP="00480051">
            <w:r>
              <w:t>Manjak prihoda od nefinancijske imovine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2E24F12D" w14:textId="2097A640" w:rsidR="00C94816" w:rsidRDefault="00325711" w:rsidP="00250705">
            <w:pPr>
              <w:jc w:val="center"/>
            </w:pPr>
            <w:r>
              <w:t>12.511,55</w:t>
            </w:r>
          </w:p>
        </w:tc>
      </w:tr>
      <w:tr w:rsidR="00C94816" w14:paraId="781BC4A2" w14:textId="77777777" w:rsidTr="003D46E1"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</w:tcPr>
          <w:p w14:paraId="256385A5" w14:textId="77777777" w:rsidR="00C94816" w:rsidRDefault="00C94816" w:rsidP="00934746">
            <w:pPr>
              <w:jc w:val="center"/>
            </w:pPr>
            <w:r>
              <w:t>92223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760AC36F" w14:textId="77777777" w:rsidR="00C94816" w:rsidRDefault="00C94816" w:rsidP="00480051">
            <w:r>
              <w:t>Manjak primitaka od financijske imovine</w:t>
            </w:r>
          </w:p>
        </w:tc>
        <w:tc>
          <w:tcPr>
            <w:tcW w:w="2517" w:type="dxa"/>
            <w:tcBorders>
              <w:bottom w:val="double" w:sz="4" w:space="0" w:color="auto"/>
              <w:right w:val="single" w:sz="12" w:space="0" w:color="auto"/>
            </w:tcBorders>
          </w:tcPr>
          <w:p w14:paraId="15F877E2" w14:textId="77777777" w:rsidR="00C94816" w:rsidRDefault="00C94816" w:rsidP="00934746">
            <w:pPr>
              <w:jc w:val="both"/>
            </w:pPr>
          </w:p>
        </w:tc>
      </w:tr>
      <w:tr w:rsidR="00C94816" w14:paraId="5C3CB269" w14:textId="77777777" w:rsidTr="003D46E1">
        <w:tc>
          <w:tcPr>
            <w:tcW w:w="20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C536925" w14:textId="77777777" w:rsidR="00C94816" w:rsidRPr="004B01FE" w:rsidRDefault="00C94816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>UKUPNO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6F598AC" w14:textId="7843EC88" w:rsidR="00C94816" w:rsidRPr="004B01FE" w:rsidRDefault="007B466B" w:rsidP="00BE5AC9">
            <w:pPr>
              <w:jc w:val="center"/>
              <w:rPr>
                <w:b/>
              </w:rPr>
            </w:pPr>
            <w:r>
              <w:rPr>
                <w:b/>
              </w:rPr>
              <w:t>Manjak</w:t>
            </w:r>
            <w:r w:rsidR="00C94816" w:rsidRPr="004B01FE">
              <w:rPr>
                <w:b/>
              </w:rPr>
              <w:t xml:space="preserve"> prihoda</w:t>
            </w:r>
          </w:p>
        </w:tc>
        <w:tc>
          <w:tcPr>
            <w:tcW w:w="25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EEA500" w14:textId="2FB5CB8B" w:rsidR="00C94816" w:rsidRPr="004B01FE" w:rsidRDefault="00325711" w:rsidP="000E72F2">
            <w:pPr>
              <w:jc w:val="center"/>
              <w:rPr>
                <w:b/>
              </w:rPr>
            </w:pPr>
            <w:r>
              <w:rPr>
                <w:b/>
              </w:rPr>
              <w:t>58.968,00</w:t>
            </w:r>
          </w:p>
        </w:tc>
      </w:tr>
    </w:tbl>
    <w:p w14:paraId="1F9555F1" w14:textId="77777777" w:rsidR="00480051" w:rsidRDefault="00480051" w:rsidP="00480051">
      <w:pPr>
        <w:jc w:val="both"/>
      </w:pPr>
    </w:p>
    <w:p w14:paraId="3F0EB254" w14:textId="77777777" w:rsidR="00480051" w:rsidRPr="005A5737" w:rsidRDefault="00480051" w:rsidP="00480051">
      <w:pPr>
        <w:jc w:val="center"/>
        <w:rPr>
          <w:b/>
        </w:rPr>
      </w:pPr>
      <w:r w:rsidRPr="005A5737">
        <w:rPr>
          <w:b/>
        </w:rPr>
        <w:t>Članak 2.</w:t>
      </w:r>
    </w:p>
    <w:p w14:paraId="31DC07B3" w14:textId="77777777" w:rsidR="005A5737" w:rsidRPr="005A5737" w:rsidRDefault="005A5737" w:rsidP="00480051">
      <w:pPr>
        <w:jc w:val="center"/>
        <w:rPr>
          <w:b/>
        </w:rPr>
      </w:pPr>
    </w:p>
    <w:p w14:paraId="612026EE" w14:textId="77777777" w:rsidR="00480051" w:rsidRDefault="00480051" w:rsidP="00480051">
      <w:r>
        <w:tab/>
        <w:t>Rezultat iz članka 1. ove Odluke raspoređuje se prema izvorima financiranja kako slijedi:</w:t>
      </w:r>
    </w:p>
    <w:p w14:paraId="29826E8D" w14:textId="77777777" w:rsidR="00BE5AC9" w:rsidRDefault="00BE5AC9" w:rsidP="00480051"/>
    <w:tbl>
      <w:tblPr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686"/>
        <w:gridCol w:w="1558"/>
      </w:tblGrid>
      <w:tr w:rsidR="000E108D" w:rsidRPr="004B01FE" w14:paraId="1B6419E4" w14:textId="77777777" w:rsidTr="00712015">
        <w:trPr>
          <w:trHeight w:val="895"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D7D4E4" w14:textId="77777777" w:rsidR="000E108D" w:rsidRPr="00F82834" w:rsidRDefault="000E108D" w:rsidP="00085A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834">
              <w:rPr>
                <w:b/>
                <w:color w:val="000000"/>
                <w:sz w:val="20"/>
                <w:szCs w:val="20"/>
              </w:rPr>
              <w:t>Vrsta financijskog plana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0EF51C" w14:textId="77777777" w:rsidR="000E108D" w:rsidRPr="004B01FE" w:rsidRDefault="000E108D" w:rsidP="00085A65">
            <w:pPr>
              <w:ind w:right="-9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Izvor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DE1B8C" w14:textId="77777777" w:rsidR="000E108D" w:rsidRPr="004B01FE" w:rsidRDefault="000E108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Namjena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D3A4BF" w14:textId="77777777" w:rsidR="000E108D" w:rsidRPr="004B01FE" w:rsidRDefault="000E108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Iznos</w:t>
            </w:r>
            <w:r w:rsidR="0093415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590B">
              <w:rPr>
                <w:b/>
                <w:color w:val="000000"/>
                <w:sz w:val="22"/>
                <w:szCs w:val="22"/>
              </w:rPr>
              <w:t>eur</w:t>
            </w:r>
            <w:proofErr w:type="spellEnd"/>
          </w:p>
        </w:tc>
      </w:tr>
      <w:tr w:rsidR="0025487D" w:rsidRPr="004B01FE" w14:paraId="7E9EC54E" w14:textId="77777777" w:rsidTr="00D2660F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4205E2" w14:textId="77777777"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ŽUPANIJSKI PRORAČUN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A8F0" w14:textId="47235682"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1</w:t>
            </w:r>
            <w:r w:rsidR="00325711">
              <w:rPr>
                <w:b/>
                <w:color w:val="000000"/>
                <w:sz w:val="22"/>
                <w:szCs w:val="22"/>
              </w:rPr>
              <w:t>.</w:t>
            </w:r>
            <w:r w:rsidRPr="004B01FE">
              <w:rPr>
                <w:b/>
                <w:color w:val="000000"/>
                <w:sz w:val="22"/>
                <w:szCs w:val="22"/>
              </w:rPr>
              <w:t>1</w:t>
            </w:r>
            <w:r w:rsidR="00325711">
              <w:rPr>
                <w:b/>
                <w:color w:val="000000"/>
                <w:sz w:val="22"/>
                <w:szCs w:val="22"/>
              </w:rPr>
              <w:t>.</w:t>
            </w:r>
          </w:p>
          <w:p w14:paraId="55A5C000" w14:textId="77777777" w:rsidR="0025487D" w:rsidRPr="004B01FE" w:rsidRDefault="0025487D" w:rsidP="002548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39E69" w14:textId="31BA89DA" w:rsidR="00DD7D03" w:rsidRPr="004B01FE" w:rsidRDefault="00DD7D03" w:rsidP="00085A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A10DE4" w14:textId="2504545A" w:rsidR="0025487D" w:rsidRPr="0095197B" w:rsidRDefault="00325711" w:rsidP="00F63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5487D" w:rsidRPr="004B01FE" w14:paraId="5B8CED92" w14:textId="77777777" w:rsidTr="0025487D">
        <w:trPr>
          <w:trHeight w:val="48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044D9A" w14:textId="77777777"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E7FC" w14:textId="68827240" w:rsidR="0025487D" w:rsidRPr="004B01FE" w:rsidRDefault="00325711" w:rsidP="002548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4.1.</w:t>
            </w:r>
          </w:p>
          <w:p w14:paraId="7BCD7C9E" w14:textId="77777777" w:rsidR="0025487D" w:rsidRPr="004B01FE" w:rsidRDefault="00D04E41" w:rsidP="002548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Decentralizirana sredstva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2C3F2" w14:textId="32986743" w:rsidR="00A01DF8" w:rsidRPr="004B01FE" w:rsidRDefault="00A01DF8" w:rsidP="00250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93C8D8" w14:textId="06C7E647" w:rsidR="0025487D" w:rsidRPr="0095197B" w:rsidRDefault="00325711" w:rsidP="00F63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5487D" w:rsidRPr="004B01FE" w14:paraId="2938FB4D" w14:textId="77777777" w:rsidTr="00EB2B18">
        <w:trPr>
          <w:trHeight w:val="26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82D17B" w14:textId="77777777"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348C" w14:textId="77F6F37F" w:rsidR="0025487D" w:rsidRDefault="0025487D" w:rsidP="007120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325711">
              <w:rPr>
                <w:b/>
                <w:color w:val="000000"/>
                <w:sz w:val="22"/>
                <w:szCs w:val="22"/>
              </w:rPr>
              <w:t>.0.8.</w:t>
            </w:r>
          </w:p>
          <w:p w14:paraId="0C0BC909" w14:textId="77777777" w:rsidR="0025487D" w:rsidRDefault="0025487D" w:rsidP="007120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Pomoći EU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C2082" w14:textId="3E379633" w:rsidR="0025487D" w:rsidRPr="004B01FE" w:rsidRDefault="00325711" w:rsidP="00085A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Razlika za školsku shemu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6E7E495" w14:textId="0DC149C2" w:rsidR="0025487D" w:rsidRPr="0095197B" w:rsidRDefault="00325711" w:rsidP="00214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26,68</w:t>
            </w:r>
          </w:p>
        </w:tc>
      </w:tr>
      <w:tr w:rsidR="000E108D" w:rsidRPr="004B01FE" w14:paraId="64BED253" w14:textId="77777777" w:rsidTr="00085A65">
        <w:trPr>
          <w:trHeight w:val="441"/>
        </w:trPr>
        <w:tc>
          <w:tcPr>
            <w:tcW w:w="3969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D8447" w14:textId="77777777" w:rsidR="000E108D" w:rsidRPr="004B01FE" w:rsidRDefault="000E108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ŽUPANIJSKI PRORAČUN UKUPNO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986053" w14:textId="77777777" w:rsidR="000E108D" w:rsidRPr="004B01FE" w:rsidRDefault="000E108D" w:rsidP="00085A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42366" w14:textId="70D5E5E0" w:rsidR="000E108D" w:rsidRPr="002144EA" w:rsidRDefault="00325711" w:rsidP="00F63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26,68</w:t>
            </w:r>
          </w:p>
        </w:tc>
      </w:tr>
      <w:tr w:rsidR="007C7428" w:rsidRPr="004B01FE" w14:paraId="344F4FC0" w14:textId="77777777" w:rsidTr="00085A65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97A4EE" w14:textId="77777777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VLASTITA I NAMJENSKA SREDSTVA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BB7" w14:textId="62F2E8C4" w:rsidR="007C7428" w:rsidRPr="004B01FE" w:rsidRDefault="007C7428" w:rsidP="007C7428">
            <w:pPr>
              <w:ind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3</w:t>
            </w:r>
            <w:r w:rsidR="006E4029">
              <w:rPr>
                <w:b/>
                <w:color w:val="000000"/>
                <w:sz w:val="22"/>
                <w:szCs w:val="22"/>
              </w:rPr>
              <w:t>.3.</w:t>
            </w:r>
          </w:p>
          <w:p w14:paraId="6EC5C097" w14:textId="77777777" w:rsidR="007C7428" w:rsidRPr="004B01FE" w:rsidRDefault="007C7428" w:rsidP="007C7428">
            <w:pPr>
              <w:ind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5D63" w14:textId="77777777" w:rsidR="007C7428" w:rsidRPr="004B01FE" w:rsidRDefault="007C7428" w:rsidP="00D603F3">
            <w:pPr>
              <w:rPr>
                <w:color w:val="000000"/>
                <w:sz w:val="22"/>
                <w:szCs w:val="22"/>
              </w:rPr>
            </w:pPr>
            <w:r w:rsidRPr="00E54523">
              <w:rPr>
                <w:color w:val="000000"/>
                <w:sz w:val="22"/>
                <w:szCs w:val="22"/>
              </w:rPr>
              <w:t>Nabava sitnog inventara i oprem</w:t>
            </w:r>
            <w:r w:rsidR="005C7AB9">
              <w:rPr>
                <w:color w:val="000000"/>
                <w:sz w:val="22"/>
                <w:szCs w:val="22"/>
              </w:rPr>
              <w:t>e za školu i za potrebe nastave,</w:t>
            </w:r>
            <w:r w:rsidR="00132AB9">
              <w:rPr>
                <w:color w:val="000000"/>
                <w:sz w:val="22"/>
                <w:szCs w:val="22"/>
              </w:rPr>
              <w:t xml:space="preserve"> </w:t>
            </w:r>
            <w:r w:rsidR="00D603F3">
              <w:rPr>
                <w:color w:val="000000"/>
                <w:sz w:val="22"/>
                <w:szCs w:val="22"/>
              </w:rPr>
              <w:t>t</w:t>
            </w:r>
            <w:r w:rsidR="0026430C">
              <w:rPr>
                <w:color w:val="000000"/>
                <w:sz w:val="22"/>
                <w:szCs w:val="22"/>
              </w:rPr>
              <w:t xml:space="preserve">e ostali </w:t>
            </w:r>
            <w:r w:rsidR="0026430C">
              <w:rPr>
                <w:color w:val="000000"/>
                <w:sz w:val="22"/>
                <w:szCs w:val="22"/>
              </w:rPr>
              <w:lastRenderedPageBreak/>
              <w:t>materijalno financijski rashodi i troškovi koji proizlaze iz poslovanja škole.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D749B" w14:textId="52470167" w:rsidR="007C7428" w:rsidRPr="0095197B" w:rsidRDefault="006E4029" w:rsidP="00D00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546,63</w:t>
            </w:r>
          </w:p>
        </w:tc>
      </w:tr>
      <w:tr w:rsidR="007C7428" w:rsidRPr="004B01FE" w14:paraId="1C415A6D" w14:textId="77777777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B352E3" w14:textId="77777777"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C03" w14:textId="7E710A04" w:rsidR="007C7428" w:rsidRPr="004B01FE" w:rsidRDefault="006E4029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4.L.</w:t>
            </w:r>
          </w:p>
          <w:p w14:paraId="3A5C87FF" w14:textId="77777777" w:rsidR="007C7428" w:rsidRPr="004B01FE" w:rsidRDefault="00D04E41" w:rsidP="00D04E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Ostali p</w:t>
            </w:r>
            <w:r w:rsidR="007C7428" w:rsidRPr="004B01FE">
              <w:rPr>
                <w:b/>
                <w:color w:val="000000"/>
                <w:sz w:val="22"/>
                <w:szCs w:val="22"/>
              </w:rPr>
              <w:t>rihodi za posebne namjene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115D" w14:textId="77777777"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D8DA73" w14:textId="081A01DD" w:rsidR="007C7428" w:rsidRPr="0095197B" w:rsidRDefault="006E4029" w:rsidP="007C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-542,80</w:t>
            </w:r>
          </w:p>
        </w:tc>
      </w:tr>
      <w:tr w:rsidR="007C7428" w:rsidRPr="004B01FE" w14:paraId="539E5342" w14:textId="77777777" w:rsidTr="003A3DB4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6C9C3" w14:textId="77777777"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85C" w14:textId="68C63308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C22B8" w14:textId="77777777"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4C9288" w14:textId="77777777" w:rsidR="007C7428" w:rsidRPr="0095197B" w:rsidRDefault="007C7428" w:rsidP="007C7428">
            <w:pPr>
              <w:jc w:val="center"/>
              <w:rPr>
                <w:sz w:val="22"/>
                <w:szCs w:val="22"/>
              </w:rPr>
            </w:pPr>
          </w:p>
        </w:tc>
      </w:tr>
      <w:tr w:rsidR="007C7428" w:rsidRPr="004B01FE" w14:paraId="046E5849" w14:textId="77777777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ECDB5F" w14:textId="77777777"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C7E4" w14:textId="0419D219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5</w:t>
            </w:r>
            <w:r w:rsidR="006E4029">
              <w:rPr>
                <w:b/>
                <w:color w:val="000000"/>
                <w:sz w:val="22"/>
                <w:szCs w:val="22"/>
              </w:rPr>
              <w:t>.0.A</w:t>
            </w:r>
          </w:p>
          <w:p w14:paraId="0E0963C0" w14:textId="77777777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48223" w14:textId="7D858A88" w:rsidR="007C7428" w:rsidRPr="004B01FE" w:rsidRDefault="0095197B" w:rsidP="00D603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Sredstva iz Državnog proračuna, te iz proračuna </w:t>
            </w:r>
            <w:r w:rsidR="006E4029">
              <w:rPr>
                <w:color w:val="000000"/>
                <w:sz w:val="22"/>
                <w:szCs w:val="22"/>
              </w:rPr>
              <w:t>općine Luka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AB9">
              <w:rPr>
                <w:color w:val="000000"/>
                <w:sz w:val="22"/>
                <w:szCs w:val="22"/>
              </w:rPr>
              <w:t xml:space="preserve"> - </w:t>
            </w:r>
            <w:r w:rsidR="006E4029">
              <w:rPr>
                <w:color w:val="000000"/>
                <w:sz w:val="22"/>
                <w:szCs w:val="22"/>
              </w:rPr>
              <w:t>obračunata plaća za djelatnike  za prosinac 2025. a koja će biti isplaćena u siječnju 2026.</w:t>
            </w:r>
            <w:r w:rsidR="00132AB9">
              <w:rPr>
                <w:color w:val="000000"/>
                <w:sz w:val="22"/>
                <w:szCs w:val="22"/>
              </w:rPr>
              <w:t xml:space="preserve"> </w:t>
            </w:r>
            <w:r w:rsidR="006E4029">
              <w:rPr>
                <w:color w:val="000000"/>
                <w:sz w:val="22"/>
                <w:szCs w:val="22"/>
              </w:rPr>
              <w:t xml:space="preserve"> i računi za školsku prehranu koji će biti plaćeni u siječnju 2026.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4133D5" w14:textId="4214DF28" w:rsidR="007C7428" w:rsidRPr="0095197B" w:rsidRDefault="006E4029" w:rsidP="007C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-58.998,51</w:t>
            </w:r>
          </w:p>
        </w:tc>
      </w:tr>
      <w:tr w:rsidR="007C7428" w:rsidRPr="004B01FE" w14:paraId="59AAD295" w14:textId="77777777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D9D32" w14:textId="77777777"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553E" w14:textId="2BA69185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6</w:t>
            </w:r>
            <w:r w:rsidR="006E4029">
              <w:rPr>
                <w:b/>
                <w:color w:val="000000"/>
                <w:sz w:val="22"/>
                <w:szCs w:val="22"/>
              </w:rPr>
              <w:t>.3.</w:t>
            </w:r>
          </w:p>
          <w:p w14:paraId="1D06E957" w14:textId="77777777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82D4" w14:textId="77777777"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D1B8CA" w14:textId="5B5CD248" w:rsidR="007C7428" w:rsidRPr="0095197B" w:rsidRDefault="006E4029" w:rsidP="00F633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C7428" w:rsidRPr="004B01FE" w14:paraId="185D7149" w14:textId="77777777" w:rsidTr="006E4029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5D769F" w14:textId="77777777"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648F" w14:textId="246AD23B" w:rsidR="007C7428" w:rsidRPr="004B01FE" w:rsidRDefault="007C7428" w:rsidP="007C742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4AFCB" w14:textId="6A4CEE9C"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98E387" w14:textId="12FC0B5F" w:rsidR="007C7428" w:rsidRPr="0095197B" w:rsidRDefault="007C7428" w:rsidP="007C7428">
            <w:pPr>
              <w:jc w:val="center"/>
              <w:rPr>
                <w:sz w:val="22"/>
                <w:szCs w:val="22"/>
              </w:rPr>
            </w:pPr>
          </w:p>
        </w:tc>
      </w:tr>
      <w:tr w:rsidR="007C7428" w:rsidRPr="004B01FE" w14:paraId="2540DA7C" w14:textId="77777777" w:rsidTr="009A409B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CFBCAF" w14:textId="77777777"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4F08" w14:textId="310FE911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0C837" w14:textId="77777777"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7DA572" w14:textId="77777777" w:rsidR="007C7428" w:rsidRPr="0095197B" w:rsidRDefault="007C7428" w:rsidP="007C7428">
            <w:pPr>
              <w:jc w:val="right"/>
              <w:rPr>
                <w:sz w:val="22"/>
                <w:szCs w:val="22"/>
              </w:rPr>
            </w:pPr>
          </w:p>
        </w:tc>
      </w:tr>
      <w:tr w:rsidR="007C7428" w:rsidRPr="004B01FE" w14:paraId="66C4C359" w14:textId="77777777" w:rsidTr="00085A65">
        <w:trPr>
          <w:trHeight w:val="441"/>
        </w:trPr>
        <w:tc>
          <w:tcPr>
            <w:tcW w:w="3969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A993E" w14:textId="77777777"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VLASTITA I NAMJENSKA SREDSTVA UKUPNO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5C353" w14:textId="77777777"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434542" w14:textId="22AB758E" w:rsidR="007C7428" w:rsidRPr="0095197B" w:rsidRDefault="006E4029" w:rsidP="00D46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-58.968,00</w:t>
            </w:r>
          </w:p>
        </w:tc>
      </w:tr>
    </w:tbl>
    <w:p w14:paraId="25872D63" w14:textId="53B35C00" w:rsidR="00BE5AC9" w:rsidRDefault="00BE5AC9" w:rsidP="00480051"/>
    <w:p w14:paraId="55CBDDC2" w14:textId="77777777" w:rsidR="007B466B" w:rsidRPr="00264FC8" w:rsidRDefault="007B466B" w:rsidP="007B466B">
      <w:pPr>
        <w:ind w:firstLine="708"/>
        <w:jc w:val="both"/>
        <w:rPr>
          <w:b/>
        </w:rPr>
      </w:pPr>
      <w:r w:rsidRPr="00264FC8">
        <w:rPr>
          <w:b/>
        </w:rPr>
        <w:t>OBRAZLOŽENJE</w:t>
      </w:r>
    </w:p>
    <w:p w14:paraId="090735B2" w14:textId="77777777" w:rsidR="007B466B" w:rsidRDefault="007B466B" w:rsidP="007B466B">
      <w:pPr>
        <w:rPr>
          <w:b/>
        </w:rPr>
      </w:pPr>
    </w:p>
    <w:p w14:paraId="74A39573" w14:textId="77777777" w:rsidR="007B466B" w:rsidRDefault="007B466B" w:rsidP="007B466B">
      <w:pPr>
        <w:pStyle w:val="Default"/>
      </w:pPr>
    </w:p>
    <w:p w14:paraId="42A947ED" w14:textId="77777777" w:rsidR="007B466B" w:rsidRPr="00250705" w:rsidRDefault="007B466B" w:rsidP="007B466B">
      <w:pPr>
        <w:autoSpaceDE w:val="0"/>
        <w:autoSpaceDN w:val="0"/>
        <w:adjustRightInd w:val="0"/>
        <w:ind w:firstLine="708"/>
        <w:jc w:val="both"/>
      </w:pPr>
      <w:r w:rsidRPr="00250705">
        <w:t>Prema članku 82. st. 2. Pravilnika o proračunskom računovodstvu i računskom planu („Narodne novine“ br. 124/14, 115/15, 87/16, 3/18, 126/19 i</w:t>
      </w:r>
      <w:r w:rsidRPr="00250705">
        <w:rPr>
          <w:bCs/>
        </w:rPr>
        <w:t xml:space="preserve"> 108/20</w:t>
      </w:r>
      <w:r w:rsidRPr="00250705">
        <w:t xml:space="preserve">) rezultat poslovanja ostvaren u proračunskoj godini </w:t>
      </w:r>
      <w:r>
        <w:t xml:space="preserve">2025. godini </w:t>
      </w:r>
      <w:r w:rsidRPr="00250705">
        <w:t xml:space="preserve">podmirit će se u </w:t>
      </w:r>
      <w:r>
        <w:t>2026. godini</w:t>
      </w:r>
      <w:r w:rsidRPr="00250705">
        <w:t xml:space="preserve"> u skladu s Odlukom o raspodjeli rezultata i uz pridržavanje ograničenja u skladu s propisima iz područja proračuna.</w:t>
      </w:r>
    </w:p>
    <w:p w14:paraId="73391F58" w14:textId="77777777" w:rsidR="007B466B" w:rsidRPr="009A409B" w:rsidRDefault="007B466B" w:rsidP="007B466B">
      <w:pPr>
        <w:pStyle w:val="Odlomakpopisa"/>
        <w:autoSpaceDE w:val="0"/>
        <w:autoSpaceDN w:val="0"/>
        <w:adjustRightInd w:val="0"/>
        <w:ind w:left="1068"/>
        <w:jc w:val="both"/>
        <w:rPr>
          <w:rFonts w:eastAsiaTheme="minorHAnsi"/>
          <w:lang w:eastAsia="en-US"/>
        </w:rPr>
      </w:pPr>
    </w:p>
    <w:p w14:paraId="71746169" w14:textId="77777777" w:rsidR="007B466B" w:rsidRPr="009A409B" w:rsidRDefault="007B466B" w:rsidP="007B466B">
      <w:pPr>
        <w:pStyle w:val="Odlomakpopisa"/>
        <w:autoSpaceDE w:val="0"/>
        <w:autoSpaceDN w:val="0"/>
        <w:adjustRightInd w:val="0"/>
        <w:ind w:left="1068"/>
        <w:jc w:val="both"/>
        <w:rPr>
          <w:rFonts w:eastAsiaTheme="minorHAnsi"/>
          <w:lang w:eastAsia="en-US"/>
        </w:rPr>
      </w:pPr>
    </w:p>
    <w:p w14:paraId="18C9EF76" w14:textId="77777777" w:rsidR="007B466B" w:rsidRPr="0027246B" w:rsidRDefault="007B466B" w:rsidP="00272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7246B">
        <w:rPr>
          <w:b/>
          <w:sz w:val="22"/>
          <w:szCs w:val="22"/>
        </w:rPr>
        <w:t>OBRAZLOŽENJE NASTANKA VIŠKA/MANJKA</w:t>
      </w:r>
    </w:p>
    <w:p w14:paraId="15F42E27" w14:textId="77777777" w:rsidR="007B466B" w:rsidRPr="009A409B" w:rsidRDefault="007B466B" w:rsidP="007B466B">
      <w:pPr>
        <w:pStyle w:val="Odlomakpopisa"/>
        <w:autoSpaceDE w:val="0"/>
        <w:autoSpaceDN w:val="0"/>
        <w:adjustRightInd w:val="0"/>
        <w:ind w:left="1068"/>
        <w:jc w:val="both"/>
        <w:rPr>
          <w:rFonts w:eastAsiaTheme="minorHAnsi"/>
          <w:lang w:eastAsia="en-US"/>
        </w:rPr>
      </w:pPr>
    </w:p>
    <w:p w14:paraId="539B4F0E" w14:textId="77777777" w:rsidR="007B466B" w:rsidRPr="007733B4" w:rsidRDefault="007B466B" w:rsidP="007B466B">
      <w:pPr>
        <w:rPr>
          <w:bCs/>
          <w:iCs/>
        </w:rPr>
      </w:pPr>
      <w:r w:rsidRPr="007733B4">
        <w:rPr>
          <w:bCs/>
          <w:iCs/>
        </w:rPr>
        <w:t xml:space="preserve">Na izvoru </w:t>
      </w:r>
      <w:r w:rsidRPr="007733B4">
        <w:rPr>
          <w:b/>
          <w:iCs/>
        </w:rPr>
        <w:t>5.K.POMOĆI</w:t>
      </w:r>
      <w:r w:rsidRPr="007733B4">
        <w:rPr>
          <w:bCs/>
          <w:iCs/>
        </w:rPr>
        <w:t xml:space="preserve">: javlja se  </w:t>
      </w:r>
      <w:r>
        <w:rPr>
          <w:b/>
          <w:iCs/>
        </w:rPr>
        <w:t>MANJAK</w:t>
      </w:r>
      <w:r w:rsidRPr="00EE3B15">
        <w:rPr>
          <w:b/>
          <w:iCs/>
        </w:rPr>
        <w:t xml:space="preserve">  </w:t>
      </w:r>
      <w:r>
        <w:rPr>
          <w:b/>
          <w:iCs/>
        </w:rPr>
        <w:t>58.998,51</w:t>
      </w:r>
      <w:r w:rsidRPr="007733B4">
        <w:rPr>
          <w:bCs/>
          <w:iCs/>
        </w:rPr>
        <w:t xml:space="preserve"> eura, a odnose se </w:t>
      </w:r>
      <w:r>
        <w:rPr>
          <w:bCs/>
        </w:rPr>
        <w:t>na obračunatu plaću za prosinca 2025.</w:t>
      </w:r>
      <w:r>
        <w:rPr>
          <w:bCs/>
          <w:iCs/>
        </w:rPr>
        <w:t>, a koja će biti isplaćena u siječnju 2026., te evidentirane troškove školske prehrane koji će također biti plaćeni u siječnju 2026.</w:t>
      </w:r>
    </w:p>
    <w:p w14:paraId="0834B178" w14:textId="77777777" w:rsidR="007B466B" w:rsidRPr="007733B4" w:rsidRDefault="007B466B" w:rsidP="007B466B">
      <w:pPr>
        <w:rPr>
          <w:bCs/>
          <w:iCs/>
        </w:rPr>
      </w:pPr>
      <w:r w:rsidRPr="007733B4">
        <w:rPr>
          <w:bCs/>
          <w:iCs/>
        </w:rPr>
        <w:t xml:space="preserve">Na izvoru </w:t>
      </w:r>
      <w:r w:rsidRPr="007733B4">
        <w:rPr>
          <w:b/>
          <w:iCs/>
        </w:rPr>
        <w:t>4.L. PRIHODI ZA POSEBNE NAMJENE</w:t>
      </w:r>
      <w:r w:rsidRPr="007733B4">
        <w:rPr>
          <w:bCs/>
          <w:iCs/>
        </w:rPr>
        <w:t xml:space="preserve">: </w:t>
      </w:r>
      <w:r>
        <w:rPr>
          <w:bCs/>
          <w:iCs/>
        </w:rPr>
        <w:t xml:space="preserve">javlja se </w:t>
      </w:r>
      <w:r>
        <w:rPr>
          <w:b/>
          <w:iCs/>
        </w:rPr>
        <w:t>MANJAK</w:t>
      </w:r>
      <w:r w:rsidRPr="0005056E">
        <w:rPr>
          <w:b/>
          <w:iCs/>
        </w:rPr>
        <w:t xml:space="preserve"> </w:t>
      </w:r>
      <w:r>
        <w:rPr>
          <w:b/>
          <w:iCs/>
        </w:rPr>
        <w:t>542,80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eur</w:t>
      </w:r>
      <w:proofErr w:type="spellEnd"/>
      <w:r>
        <w:rPr>
          <w:bCs/>
          <w:iCs/>
        </w:rPr>
        <w:t xml:space="preserve">, a odnosi se na evidentirane troškove školske prehrane  u produženom boravku, a koji će se plaćati u siječnju 2025.  </w:t>
      </w:r>
    </w:p>
    <w:p w14:paraId="6888F2DA" w14:textId="77777777" w:rsidR="007B466B" w:rsidRDefault="007B466B" w:rsidP="007B466B">
      <w:pPr>
        <w:rPr>
          <w:bCs/>
          <w:iCs/>
        </w:rPr>
      </w:pPr>
      <w:r w:rsidRPr="007733B4">
        <w:rPr>
          <w:bCs/>
          <w:iCs/>
        </w:rPr>
        <w:t>Na izvoru</w:t>
      </w:r>
      <w:r>
        <w:rPr>
          <w:b/>
          <w:i/>
        </w:rPr>
        <w:t xml:space="preserve"> </w:t>
      </w:r>
      <w:r w:rsidRPr="007733B4">
        <w:rPr>
          <w:b/>
          <w:iCs/>
        </w:rPr>
        <w:t>3.3. VLASTITI PRIHODI</w:t>
      </w:r>
      <w:r w:rsidRPr="007733B4">
        <w:rPr>
          <w:bCs/>
          <w:iCs/>
        </w:rPr>
        <w:t xml:space="preserve">: javlja se </w:t>
      </w:r>
      <w:r w:rsidRPr="0005056E">
        <w:rPr>
          <w:b/>
          <w:iCs/>
        </w:rPr>
        <w:t xml:space="preserve">VIŠAK </w:t>
      </w:r>
      <w:r>
        <w:rPr>
          <w:b/>
          <w:iCs/>
        </w:rPr>
        <w:t>546,63</w:t>
      </w:r>
      <w:r>
        <w:rPr>
          <w:bCs/>
          <w:iCs/>
        </w:rPr>
        <w:t xml:space="preserve">  </w:t>
      </w:r>
      <w:r w:rsidRPr="007733B4">
        <w:rPr>
          <w:bCs/>
          <w:iCs/>
        </w:rPr>
        <w:t>eura, a  odnosi se na sredstva od najma školske sportske dvorane</w:t>
      </w:r>
      <w:r>
        <w:rPr>
          <w:bCs/>
          <w:iCs/>
        </w:rPr>
        <w:t xml:space="preserve"> i godišnjeg najma za staru školu. Sredstva se planiraju </w:t>
      </w:r>
      <w:r w:rsidRPr="007733B4">
        <w:rPr>
          <w:bCs/>
          <w:iCs/>
        </w:rPr>
        <w:t xml:space="preserve"> utrošiti  za nabavu</w:t>
      </w:r>
      <w:r>
        <w:rPr>
          <w:bCs/>
          <w:iCs/>
        </w:rPr>
        <w:t xml:space="preserve"> sportske</w:t>
      </w:r>
      <w:r w:rsidRPr="007733B4">
        <w:rPr>
          <w:bCs/>
          <w:iCs/>
        </w:rPr>
        <w:t xml:space="preserve"> opreme</w:t>
      </w:r>
      <w:r>
        <w:rPr>
          <w:bCs/>
          <w:iCs/>
        </w:rPr>
        <w:t xml:space="preserve">, </w:t>
      </w:r>
      <w:r w:rsidRPr="007733B4">
        <w:rPr>
          <w:bCs/>
          <w:iCs/>
        </w:rPr>
        <w:t>materijala za nastavu i uređenje okoliša.</w:t>
      </w:r>
    </w:p>
    <w:p w14:paraId="68D9801E" w14:textId="77777777" w:rsidR="007B466B" w:rsidRDefault="007B466B" w:rsidP="007B466B">
      <w:pPr>
        <w:rPr>
          <w:bCs/>
          <w:iCs/>
        </w:rPr>
      </w:pPr>
      <w:r>
        <w:rPr>
          <w:bCs/>
          <w:iCs/>
        </w:rPr>
        <w:t xml:space="preserve">Na izvoru </w:t>
      </w:r>
      <w:r w:rsidRPr="0005056E">
        <w:rPr>
          <w:b/>
          <w:iCs/>
        </w:rPr>
        <w:t>6.3. DONACIJE</w:t>
      </w:r>
      <w:r>
        <w:rPr>
          <w:bCs/>
          <w:iCs/>
        </w:rPr>
        <w:t xml:space="preserve"> stanje je 0,00 eura</w:t>
      </w:r>
    </w:p>
    <w:p w14:paraId="7B14E074" w14:textId="77777777" w:rsidR="007B466B" w:rsidRDefault="007B466B" w:rsidP="007B466B">
      <w:pPr>
        <w:rPr>
          <w:bCs/>
          <w:iCs/>
        </w:rPr>
      </w:pPr>
    </w:p>
    <w:p w14:paraId="6AF3AF02" w14:textId="77777777" w:rsidR="007B466B" w:rsidRPr="00A13499" w:rsidRDefault="007B466B" w:rsidP="007B466B">
      <w:pPr>
        <w:rPr>
          <w:bCs/>
          <w:iCs/>
          <w:u w:val="single"/>
        </w:rPr>
      </w:pPr>
      <w:r w:rsidRPr="00A13499">
        <w:rPr>
          <w:bCs/>
          <w:iCs/>
          <w:u w:val="single"/>
        </w:rPr>
        <w:t>Napomena:</w:t>
      </w:r>
    </w:p>
    <w:p w14:paraId="218DDD15" w14:textId="77777777" w:rsidR="007B466B" w:rsidRDefault="007B466B" w:rsidP="007B466B">
      <w:pPr>
        <w:rPr>
          <w:bCs/>
          <w:iCs/>
        </w:rPr>
      </w:pPr>
      <w:r>
        <w:rPr>
          <w:bCs/>
          <w:iCs/>
        </w:rPr>
        <w:t xml:space="preserve">Na izvoru </w:t>
      </w:r>
      <w:r w:rsidRPr="00863768">
        <w:rPr>
          <w:b/>
          <w:iCs/>
        </w:rPr>
        <w:t>4. L.</w:t>
      </w:r>
      <w:r>
        <w:rPr>
          <w:bCs/>
          <w:iCs/>
        </w:rPr>
        <w:t xml:space="preserve"> </w:t>
      </w:r>
      <w:r w:rsidRPr="007733B4">
        <w:rPr>
          <w:b/>
          <w:iCs/>
        </w:rPr>
        <w:t>PRIHODI ZA POSEBNE NAMJENE</w:t>
      </w:r>
      <w:r>
        <w:rPr>
          <w:b/>
          <w:iCs/>
        </w:rPr>
        <w:t xml:space="preserve">  u 2025. godini nismo imali </w:t>
      </w:r>
      <w:r w:rsidRPr="001107FA">
        <w:rPr>
          <w:bCs/>
          <w:iCs/>
        </w:rPr>
        <w:t xml:space="preserve">evidentiran </w:t>
      </w:r>
      <w:r>
        <w:rPr>
          <w:b/>
          <w:iCs/>
        </w:rPr>
        <w:t xml:space="preserve"> konto 63911 Tekući prijenosi između proračunskih korisnika istog proračuna.</w:t>
      </w:r>
    </w:p>
    <w:p w14:paraId="5A67441F" w14:textId="77777777" w:rsidR="007B466B" w:rsidRDefault="007B466B" w:rsidP="007B466B">
      <w:pPr>
        <w:rPr>
          <w:bCs/>
          <w:iCs/>
        </w:rPr>
      </w:pPr>
    </w:p>
    <w:p w14:paraId="46AD3CC4" w14:textId="77777777" w:rsidR="007B466B" w:rsidRDefault="007B466B" w:rsidP="007B466B">
      <w:pPr>
        <w:rPr>
          <w:bCs/>
          <w:iCs/>
        </w:rPr>
      </w:pPr>
      <w:r>
        <w:rPr>
          <w:bCs/>
          <w:iCs/>
        </w:rPr>
        <w:lastRenderedPageBreak/>
        <w:t xml:space="preserve">Razlika od </w:t>
      </w:r>
      <w:r w:rsidRPr="006070F0">
        <w:rPr>
          <w:b/>
          <w:iCs/>
        </w:rPr>
        <w:t>26,68 eura</w:t>
      </w:r>
      <w:r>
        <w:rPr>
          <w:bCs/>
          <w:iCs/>
        </w:rPr>
        <w:t xml:space="preserve">  koja se pojavljuje između financijskog izvještaja i RVI izvještaja odnosi se na </w:t>
      </w:r>
      <w:r w:rsidRPr="006070F0">
        <w:rPr>
          <w:b/>
          <w:iCs/>
        </w:rPr>
        <w:t>Školsku Shemu voća i povrća  te mlijeka i mliječnih proizvoda</w:t>
      </w:r>
      <w:r>
        <w:rPr>
          <w:bCs/>
          <w:iCs/>
        </w:rPr>
        <w:t>. Naime Školska Shema se evidentira na razini školske godine, a financijski izvještaji na razini kalendarske godine.  Razlika je u tome što je na izvršenju prikazano više troškova od ostvarenih jer posljednji račun za školsku shemu koji se odnosi na prosinac 2025. prema uputi financija trebali smo proknjižiti i prikazati u 2026. godinu.</w:t>
      </w:r>
    </w:p>
    <w:p w14:paraId="22DD44B8" w14:textId="1DA1FCB8" w:rsidR="007B466B" w:rsidRDefault="007B466B" w:rsidP="00480051"/>
    <w:p w14:paraId="6A68E952" w14:textId="77777777" w:rsidR="007B466B" w:rsidRDefault="007B466B" w:rsidP="00480051"/>
    <w:p w14:paraId="4DE4F2B3" w14:textId="77777777" w:rsidR="00132AB9" w:rsidRDefault="00132AB9" w:rsidP="00480051">
      <w:pPr>
        <w:jc w:val="center"/>
        <w:rPr>
          <w:b/>
        </w:rPr>
      </w:pPr>
    </w:p>
    <w:p w14:paraId="633F9EA8" w14:textId="77777777" w:rsidR="00480051" w:rsidRDefault="00480051" w:rsidP="00480051">
      <w:pPr>
        <w:jc w:val="center"/>
        <w:rPr>
          <w:b/>
        </w:rPr>
      </w:pPr>
      <w:r>
        <w:rPr>
          <w:b/>
        </w:rPr>
        <w:t>Članak 3.</w:t>
      </w:r>
    </w:p>
    <w:p w14:paraId="1AB686DF" w14:textId="77777777" w:rsidR="00480051" w:rsidRDefault="00480051" w:rsidP="00480051">
      <w:pPr>
        <w:jc w:val="both"/>
        <w:rPr>
          <w:b/>
        </w:rPr>
      </w:pPr>
    </w:p>
    <w:p w14:paraId="6760EBCE" w14:textId="48E6C1D2" w:rsidR="00480051" w:rsidRDefault="00480051" w:rsidP="00480051">
      <w:pPr>
        <w:jc w:val="both"/>
      </w:pPr>
      <w:r w:rsidRPr="00A26808">
        <w:tab/>
      </w:r>
      <w:r w:rsidR="006E4029">
        <w:t>Manjak</w:t>
      </w:r>
      <w:r>
        <w:t xml:space="preserve"> prihoda u ukupnom iznosu od </w:t>
      </w:r>
      <w:r w:rsidR="006E4029">
        <w:t>58.968,00</w:t>
      </w:r>
      <w:r w:rsidR="00C8590B">
        <w:t xml:space="preserve"> </w:t>
      </w:r>
      <w:r w:rsidR="00D46509">
        <w:t>eur</w:t>
      </w:r>
      <w:r w:rsidR="00044CEE">
        <w:t>a</w:t>
      </w:r>
      <w:r>
        <w:t xml:space="preserve"> </w:t>
      </w:r>
      <w:r w:rsidR="006E4029">
        <w:t xml:space="preserve">predstavlja metodološki manjak koji će se pokriti isplatom plaće djelatnicima iz državnog proračuna i plaćanje računa za školsku prehranu  u siječnju 2026.  </w:t>
      </w:r>
    </w:p>
    <w:p w14:paraId="57A67199" w14:textId="7A368A49" w:rsidR="009A409B" w:rsidRDefault="009A409B" w:rsidP="00480051">
      <w:pPr>
        <w:jc w:val="both"/>
      </w:pPr>
      <w:r>
        <w:t>Preneseni višak iz prethodnih godina iznosi 18.055,97 eura, pa je ostvareni manjak koji se prenosi u narednu godinu 40.938,71 eura</w:t>
      </w:r>
    </w:p>
    <w:p w14:paraId="0C433307" w14:textId="77777777" w:rsidR="00480051" w:rsidRDefault="00480051" w:rsidP="00480051">
      <w:pPr>
        <w:jc w:val="both"/>
      </w:pPr>
    </w:p>
    <w:p w14:paraId="09094A52" w14:textId="77777777" w:rsidR="00480051" w:rsidRDefault="00480051" w:rsidP="00480051">
      <w:pPr>
        <w:jc w:val="center"/>
        <w:rPr>
          <w:b/>
        </w:rPr>
      </w:pPr>
      <w:r>
        <w:rPr>
          <w:b/>
        </w:rPr>
        <w:t>Članak 4.</w:t>
      </w:r>
    </w:p>
    <w:p w14:paraId="4474D6CC" w14:textId="77777777" w:rsidR="00480051" w:rsidRDefault="00480051" w:rsidP="00480051">
      <w:pPr>
        <w:jc w:val="both"/>
        <w:rPr>
          <w:b/>
        </w:rPr>
      </w:pPr>
    </w:p>
    <w:p w14:paraId="759592A0" w14:textId="77777777" w:rsidR="007B466B" w:rsidRDefault="00480051" w:rsidP="007B466B">
      <w:pPr>
        <w:ind w:firstLine="708"/>
        <w:jc w:val="both"/>
      </w:pPr>
      <w:r>
        <w:t>Ova Odluka stupa na snagu danom donošenja</w:t>
      </w:r>
      <w:r w:rsidR="009A409B">
        <w:t xml:space="preserve">. </w:t>
      </w:r>
    </w:p>
    <w:p w14:paraId="20F7E69C" w14:textId="77777777" w:rsidR="007B466B" w:rsidRDefault="007B466B" w:rsidP="007B466B">
      <w:pPr>
        <w:ind w:firstLine="708"/>
        <w:jc w:val="both"/>
      </w:pPr>
    </w:p>
    <w:p w14:paraId="75D9323D" w14:textId="28693D48" w:rsidR="009A409B" w:rsidRDefault="009A409B" w:rsidP="000E108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6860B504" w14:textId="610D4DB1" w:rsidR="009A409B" w:rsidRDefault="009A409B" w:rsidP="000E108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566A6713" w14:textId="77777777" w:rsidR="009A409B" w:rsidRPr="00250705" w:rsidRDefault="009A409B" w:rsidP="000E108D">
      <w:pPr>
        <w:autoSpaceDE w:val="0"/>
        <w:autoSpaceDN w:val="0"/>
        <w:adjustRightInd w:val="0"/>
        <w:ind w:firstLine="708"/>
        <w:jc w:val="both"/>
      </w:pPr>
    </w:p>
    <w:p w14:paraId="415493BE" w14:textId="77777777" w:rsidR="00C5043C" w:rsidRDefault="00C5043C" w:rsidP="00A07F40">
      <w:pPr>
        <w:jc w:val="both"/>
        <w:rPr>
          <w:b/>
        </w:rPr>
      </w:pPr>
    </w:p>
    <w:p w14:paraId="039EACB8" w14:textId="1F9A0B9C" w:rsidR="002B626F" w:rsidRDefault="007B466B" w:rsidP="007B466B">
      <w:pPr>
        <w:jc w:val="right"/>
        <w:rPr>
          <w:b/>
        </w:rPr>
      </w:pPr>
      <w:r>
        <w:rPr>
          <w:b/>
        </w:rPr>
        <w:t xml:space="preserve">Predsjednica Školskog odbora </w:t>
      </w:r>
    </w:p>
    <w:p w14:paraId="73BC2308" w14:textId="0234B1FB" w:rsidR="007B466B" w:rsidRDefault="007B466B" w:rsidP="007B466B">
      <w:pPr>
        <w:jc w:val="right"/>
      </w:pPr>
      <w:r>
        <w:rPr>
          <w:b/>
        </w:rPr>
        <w:t>Snježana Ivanković</w:t>
      </w:r>
    </w:p>
    <w:sectPr w:rsidR="007B466B" w:rsidSect="000E10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00CC"/>
    <w:multiLevelType w:val="hybridMultilevel"/>
    <w:tmpl w:val="04DA6498"/>
    <w:lvl w:ilvl="0" w:tplc="391666F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color w:val="17365D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80378C"/>
    <w:multiLevelType w:val="hybridMultilevel"/>
    <w:tmpl w:val="4EF46AD4"/>
    <w:lvl w:ilvl="0" w:tplc="805E09AC">
      <w:start w:val="3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0083C"/>
    <w:multiLevelType w:val="hybridMultilevel"/>
    <w:tmpl w:val="6742B444"/>
    <w:lvl w:ilvl="0" w:tplc="805E09AC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51"/>
    <w:rsid w:val="00006EC8"/>
    <w:rsid w:val="000107C2"/>
    <w:rsid w:val="00021D57"/>
    <w:rsid w:val="00040498"/>
    <w:rsid w:val="00044CEE"/>
    <w:rsid w:val="000C687F"/>
    <w:rsid w:val="000E108D"/>
    <w:rsid w:val="000E72F2"/>
    <w:rsid w:val="000F2564"/>
    <w:rsid w:val="00132AB9"/>
    <w:rsid w:val="001C3E70"/>
    <w:rsid w:val="001E4648"/>
    <w:rsid w:val="002144EA"/>
    <w:rsid w:val="00230DEC"/>
    <w:rsid w:val="00244C3E"/>
    <w:rsid w:val="00250705"/>
    <w:rsid w:val="00250C0C"/>
    <w:rsid w:val="00251B29"/>
    <w:rsid w:val="0025487D"/>
    <w:rsid w:val="0026430C"/>
    <w:rsid w:val="0027246B"/>
    <w:rsid w:val="002B626F"/>
    <w:rsid w:val="002C5564"/>
    <w:rsid w:val="002D41AE"/>
    <w:rsid w:val="00325711"/>
    <w:rsid w:val="00353E48"/>
    <w:rsid w:val="00390733"/>
    <w:rsid w:val="003A1C43"/>
    <w:rsid w:val="003A3DB4"/>
    <w:rsid w:val="003B1CBC"/>
    <w:rsid w:val="003B63F9"/>
    <w:rsid w:val="003C5325"/>
    <w:rsid w:val="003C7DCB"/>
    <w:rsid w:val="003D0A0B"/>
    <w:rsid w:val="003D46E1"/>
    <w:rsid w:val="00407677"/>
    <w:rsid w:val="004362AC"/>
    <w:rsid w:val="004374F3"/>
    <w:rsid w:val="00480051"/>
    <w:rsid w:val="004C1989"/>
    <w:rsid w:val="004D6D2D"/>
    <w:rsid w:val="004E63C9"/>
    <w:rsid w:val="005160CD"/>
    <w:rsid w:val="0053794B"/>
    <w:rsid w:val="00562374"/>
    <w:rsid w:val="00573DFA"/>
    <w:rsid w:val="00587D7F"/>
    <w:rsid w:val="005902B7"/>
    <w:rsid w:val="005910BC"/>
    <w:rsid w:val="00594BAF"/>
    <w:rsid w:val="005A5737"/>
    <w:rsid w:val="005C7AB9"/>
    <w:rsid w:val="005E3B19"/>
    <w:rsid w:val="00605AD8"/>
    <w:rsid w:val="00620D70"/>
    <w:rsid w:val="00624170"/>
    <w:rsid w:val="006330C6"/>
    <w:rsid w:val="006A15FC"/>
    <w:rsid w:val="006A2E2A"/>
    <w:rsid w:val="006B52D2"/>
    <w:rsid w:val="006E4029"/>
    <w:rsid w:val="00700AB5"/>
    <w:rsid w:val="007027AB"/>
    <w:rsid w:val="00711B51"/>
    <w:rsid w:val="00712015"/>
    <w:rsid w:val="0071695D"/>
    <w:rsid w:val="0076586A"/>
    <w:rsid w:val="00774E35"/>
    <w:rsid w:val="007770AC"/>
    <w:rsid w:val="00783B12"/>
    <w:rsid w:val="007A78A7"/>
    <w:rsid w:val="007B466B"/>
    <w:rsid w:val="007C6FEC"/>
    <w:rsid w:val="007C7428"/>
    <w:rsid w:val="00852D39"/>
    <w:rsid w:val="008962AF"/>
    <w:rsid w:val="008D390E"/>
    <w:rsid w:val="00934152"/>
    <w:rsid w:val="00936E0C"/>
    <w:rsid w:val="0095197B"/>
    <w:rsid w:val="009970B6"/>
    <w:rsid w:val="009971C6"/>
    <w:rsid w:val="009A409B"/>
    <w:rsid w:val="009A7992"/>
    <w:rsid w:val="009C3454"/>
    <w:rsid w:val="00A01DF8"/>
    <w:rsid w:val="00A07F40"/>
    <w:rsid w:val="00A30D7B"/>
    <w:rsid w:val="00A35C6B"/>
    <w:rsid w:val="00A50C69"/>
    <w:rsid w:val="00A93EBD"/>
    <w:rsid w:val="00AA0775"/>
    <w:rsid w:val="00B4238B"/>
    <w:rsid w:val="00B5284D"/>
    <w:rsid w:val="00B80E31"/>
    <w:rsid w:val="00BA005E"/>
    <w:rsid w:val="00BC7E07"/>
    <w:rsid w:val="00BE5AC9"/>
    <w:rsid w:val="00BF4344"/>
    <w:rsid w:val="00BF7D97"/>
    <w:rsid w:val="00C00288"/>
    <w:rsid w:val="00C37F65"/>
    <w:rsid w:val="00C50357"/>
    <w:rsid w:val="00C5043C"/>
    <w:rsid w:val="00C5673E"/>
    <w:rsid w:val="00C75A1E"/>
    <w:rsid w:val="00C8590B"/>
    <w:rsid w:val="00C94816"/>
    <w:rsid w:val="00CA5EE8"/>
    <w:rsid w:val="00CC2CEF"/>
    <w:rsid w:val="00CD5A32"/>
    <w:rsid w:val="00D00F53"/>
    <w:rsid w:val="00D04E41"/>
    <w:rsid w:val="00D16841"/>
    <w:rsid w:val="00D24A90"/>
    <w:rsid w:val="00D2660F"/>
    <w:rsid w:val="00D46509"/>
    <w:rsid w:val="00D54379"/>
    <w:rsid w:val="00D603F3"/>
    <w:rsid w:val="00DA7CA2"/>
    <w:rsid w:val="00DD2677"/>
    <w:rsid w:val="00DD7D03"/>
    <w:rsid w:val="00E07F86"/>
    <w:rsid w:val="00E23A52"/>
    <w:rsid w:val="00E57E64"/>
    <w:rsid w:val="00E610AA"/>
    <w:rsid w:val="00E630B8"/>
    <w:rsid w:val="00E80DB7"/>
    <w:rsid w:val="00E87937"/>
    <w:rsid w:val="00EB2B18"/>
    <w:rsid w:val="00EC55EB"/>
    <w:rsid w:val="00F047BE"/>
    <w:rsid w:val="00F4165E"/>
    <w:rsid w:val="00F63336"/>
    <w:rsid w:val="00F912AD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CFB"/>
  <w15:docId w15:val="{26E96AD2-B5AE-46FE-83B6-8AFD592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5A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035B-7135-4304-83E1-3720A2BD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Makaj Kefelja</dc:creator>
  <cp:lastModifiedBy>Racunovodstvo</cp:lastModifiedBy>
  <cp:revision>3</cp:revision>
  <cp:lastPrinted>2026-02-23T13:37:00Z</cp:lastPrinted>
  <dcterms:created xsi:type="dcterms:W3CDTF">2026-02-23T13:50:00Z</dcterms:created>
  <dcterms:modified xsi:type="dcterms:W3CDTF">2026-02-24T06:25:00Z</dcterms:modified>
</cp:coreProperties>
</file>